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35"/>
        <w:gridCol w:w="7215"/>
        <w:gridCol w:w="795"/>
      </w:tblGrid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Colintraive and Glendaruel Development Trust</w:t>
            </w:r>
          </w:p>
          <w:p w:rsidR="00B60D5B" w:rsidRDefault="00057593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Minute of Board Meeting</w:t>
            </w:r>
          </w:p>
          <w:p w:rsidR="00B60D5B" w:rsidRDefault="00057593">
            <w:pPr>
              <w:pStyle w:val="TableContents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21</w:t>
            </w:r>
            <w:r>
              <w:rPr>
                <w:rFonts w:ascii="Comic Sans MS" w:hAnsi="Comic Sans MS"/>
                <w:b/>
                <w:bCs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bCs/>
              </w:rPr>
              <w:t xml:space="preserve"> September 2014; Colintraive Hall; 15.30</w:t>
            </w: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Present: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Charles Dixon-Spain (CDS); Sandra Wilson (SW); John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Shiveral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(JS)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Apologies: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Eamon King (EK); Jim McLuckie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);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In Attendance: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Sara Maclean (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); James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Hilder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(JH-present for first item only)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jc w:val="center"/>
              <w:rPr>
                <w:rFonts w:ascii="Comic Sans MS" w:hAnsi="Comic Sans MS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Comic Sans MS" w:hAnsi="Comic Sans MS"/>
                <w:i/>
                <w:iCs/>
                <w:sz w:val="16"/>
                <w:szCs w:val="16"/>
                <w:u w:val="single"/>
              </w:rPr>
              <w:t>The meeting was not quorate; matters arising from the meeting that required decisions were postponed or subsequently circulated to board members by e-mail.</w:t>
            </w: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Achanelid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Wind Farm: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JH presented the proposals for the development of a five turbine (up to 2 mega</w:t>
            </w:r>
            <w:r>
              <w:rPr>
                <w:rFonts w:ascii="Comic Sans MS" w:hAnsi="Comic Sans MS"/>
                <w:sz w:val="16"/>
                <w:szCs w:val="16"/>
              </w:rPr>
              <w:t xml:space="preserve">watts each) wind farm on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Achanedlid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in Glendaruel. The site is owned by local landowners and the development phase of the project is being funded and managed by Communities for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Renewables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CIC and Atlantic Energy. The project would offer the opportunity for</w:t>
            </w:r>
            <w:r>
              <w:rPr>
                <w:rFonts w:ascii="Comic Sans MS" w:hAnsi="Comic Sans MS"/>
                <w:sz w:val="16"/>
                <w:szCs w:val="16"/>
              </w:rPr>
              <w:t xml:space="preserve"> community ownership through a cooperative share offer with low minimum investment. Proposed community benefit was the funding of local (i.e. Argyll) community organisations and initiatives from all surplus income after operating and finance costs.</w:t>
            </w:r>
          </w:p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The </w:t>
            </w:r>
            <w:r>
              <w:rPr>
                <w:rFonts w:ascii="Comic Sans MS" w:hAnsi="Comic Sans MS"/>
                <w:sz w:val="16"/>
                <w:szCs w:val="16"/>
              </w:rPr>
              <w:t>board discussed the proposal after JH departed. Fuller discussion of the proposal would be carried out with the full board.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Previous minute: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Approval postponed until quorate.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Matters arising: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Election of Office Bearers postponed until quorate.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Finance: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Income and expenditure report had been circulated by MS; authorisation postponed until quorate.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Greener </w:t>
            </w:r>
            <w:proofErr w:type="spellStart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Colglen</w:t>
            </w:r>
            <w:proofErr w:type="spellEnd"/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circulated reports prior to meeting and discussed the following:</w:t>
            </w:r>
          </w:p>
          <w:p w:rsidR="00B60D5B" w:rsidRDefault="00057593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Rhododendron meeting had been productive. A site for the demon</w:t>
            </w:r>
            <w:r>
              <w:rPr>
                <w:rFonts w:ascii="Comic Sans MS" w:hAnsi="Comic Sans MS"/>
                <w:sz w:val="16"/>
                <w:szCs w:val="16"/>
              </w:rPr>
              <w:t>strations had been determined with due regard to risk assessments; a provisional date had been set for 21</w:t>
            </w:r>
            <w:r>
              <w:rPr>
                <w:rFonts w:ascii="Comic Sans MS" w:hAnsi="Comic Sans MS"/>
                <w:sz w:val="16"/>
                <w:szCs w:val="16"/>
                <w:vertAlign w:val="superscript"/>
              </w:rPr>
              <w:t>st</w:t>
            </w:r>
            <w:r>
              <w:rPr>
                <w:rFonts w:ascii="Comic Sans MS" w:hAnsi="Comic Sans MS"/>
                <w:sz w:val="16"/>
                <w:szCs w:val="16"/>
              </w:rPr>
              <w:t xml:space="preserve"> October 2014.</w:t>
            </w:r>
          </w:p>
          <w:p w:rsidR="00B60D5B" w:rsidRDefault="00057593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Coglen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grower activities were progressing well and a Harvest Lunch event had been scheduled for 4th October 2014.</w:t>
            </w:r>
          </w:p>
          <w:p w:rsidR="00B60D5B" w:rsidRDefault="00057593">
            <w:pPr>
              <w:pStyle w:val="TableContents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Green Deal </w:t>
            </w:r>
            <w:r>
              <w:rPr>
                <w:rFonts w:ascii="Comic Sans MS" w:hAnsi="Comic Sans MS"/>
                <w:sz w:val="16"/>
                <w:szCs w:val="16"/>
              </w:rPr>
              <w:t>assessments had been completed.</w:t>
            </w:r>
          </w:p>
          <w:p w:rsidR="00B60D5B" w:rsidRDefault="00B60D5B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SMcL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 xml:space="preserve"> departed at 17.15.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Decisions required by e-mail: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Three decisions </w:t>
            </w:r>
            <w:proofErr w:type="gramStart"/>
            <w:r>
              <w:rPr>
                <w:rFonts w:ascii="Comic Sans MS" w:hAnsi="Comic Sans MS"/>
                <w:sz w:val="16"/>
                <w:szCs w:val="16"/>
              </w:rPr>
              <w:t>required  to</w:t>
            </w:r>
            <w:proofErr w:type="gramEnd"/>
            <w:r>
              <w:rPr>
                <w:rFonts w:ascii="Comic Sans MS" w:hAnsi="Comic Sans MS"/>
                <w:sz w:val="16"/>
                <w:szCs w:val="16"/>
              </w:rPr>
              <w:t xml:space="preserve"> be made by board members; these would be circulated by e-mail and recorded in the minute of the next meeting.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CDS</w:t>
            </w: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sz w:val="16"/>
                <w:szCs w:val="16"/>
              </w:rPr>
              <w:t>Future meeting dates: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</w:t>
            </w:r>
            <w:r>
              <w:rPr>
                <w:rFonts w:ascii="Comic Sans MS" w:hAnsi="Comic Sans MS"/>
                <w:sz w:val="16"/>
                <w:szCs w:val="16"/>
              </w:rPr>
              <w:t>ecember and further meeting date to be determined at next meeting.</w:t>
            </w:r>
          </w:p>
          <w:p w:rsidR="00B60D5B" w:rsidRDefault="00B60D5B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  <w:p w:rsidR="00B60D5B" w:rsidRDefault="00B60D5B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</w:p>
          <w:p w:rsidR="00B60D5B" w:rsidRDefault="00057593">
            <w:pPr>
              <w:pStyle w:val="TableContents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The meeting ended at 17.30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TableContents"/>
              <w:rPr>
                <w:rFonts w:ascii="Comic Sans MS" w:hAnsi="Comic Sans MS"/>
              </w:rPr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ADOPTION:    </w:t>
            </w: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Proposed:</w:t>
            </w:r>
          </w:p>
          <w:p w:rsidR="00B60D5B" w:rsidRDefault="0005759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B60D5B" w:rsidRDefault="00057593">
            <w:pPr>
              <w:pStyle w:val="NoSpacing"/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                        </w:t>
            </w: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</w:t>
            </w:r>
            <w: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Standard"/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Seconded:</w:t>
            </w:r>
          </w:p>
          <w:p w:rsidR="00B60D5B" w:rsidRDefault="00B60D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Standard"/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SIGNED:  </w:t>
            </w:r>
          </w:p>
          <w:p w:rsidR="00B60D5B" w:rsidRDefault="00B60D5B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  <w:p w:rsidR="00B60D5B" w:rsidRDefault="0005759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      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Standard"/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Chairman:</w:t>
            </w:r>
          </w:p>
          <w:p w:rsidR="00B60D5B" w:rsidRDefault="0005759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  <w:p w:rsidR="00B60D5B" w:rsidRDefault="00057593">
            <w:pPr>
              <w:pStyle w:val="NoSpacing"/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Standard"/>
            </w:pPr>
          </w:p>
        </w:tc>
      </w:tr>
      <w:tr w:rsidR="00B60D5B" w:rsidTr="00B60D5B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21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057593">
            <w:pPr>
              <w:pStyle w:val="NoSpacing"/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Comic Sans MS" w:eastAsia="Times New Roman" w:hAnsi="Comic Sans MS"/>
                <w:b/>
                <w:bCs/>
                <w:color w:val="000000"/>
                <w:sz w:val="16"/>
                <w:szCs w:val="16"/>
                <w:lang w:eastAsia="en-GB"/>
              </w:rPr>
              <w:t>DATE:       </w:t>
            </w:r>
          </w:p>
          <w:p w:rsidR="00B60D5B" w:rsidRDefault="00B60D5B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60D5B" w:rsidRDefault="00B60D5B">
            <w:pPr>
              <w:pStyle w:val="Standard"/>
            </w:pPr>
          </w:p>
        </w:tc>
      </w:tr>
    </w:tbl>
    <w:p w:rsidR="00B60D5B" w:rsidRDefault="00B60D5B">
      <w:pPr>
        <w:pStyle w:val="Standard"/>
      </w:pPr>
    </w:p>
    <w:sectPr w:rsidR="00B60D5B" w:rsidSect="00B60D5B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593" w:rsidRDefault="00057593" w:rsidP="00B60D5B">
      <w:r>
        <w:separator/>
      </w:r>
    </w:p>
  </w:endnote>
  <w:endnote w:type="continuationSeparator" w:id="0">
    <w:p w:rsidR="00057593" w:rsidRDefault="00057593" w:rsidP="00B6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593" w:rsidRDefault="00057593" w:rsidP="00B60D5B">
      <w:r w:rsidRPr="00B60D5B">
        <w:rPr>
          <w:color w:val="000000"/>
        </w:rPr>
        <w:separator/>
      </w:r>
    </w:p>
  </w:footnote>
  <w:footnote w:type="continuationSeparator" w:id="0">
    <w:p w:rsidR="00057593" w:rsidRDefault="00057593" w:rsidP="00B60D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D2973"/>
    <w:multiLevelType w:val="multilevel"/>
    <w:tmpl w:val="D4E84C6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60D5B"/>
    <w:rsid w:val="00057593"/>
    <w:rsid w:val="005E47D8"/>
    <w:rsid w:val="00B6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60D5B"/>
  </w:style>
  <w:style w:type="paragraph" w:customStyle="1" w:styleId="Heading">
    <w:name w:val="Heading"/>
    <w:basedOn w:val="Standard"/>
    <w:next w:val="Textbody"/>
    <w:rsid w:val="00B60D5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B60D5B"/>
    <w:pPr>
      <w:spacing w:after="120"/>
    </w:pPr>
  </w:style>
  <w:style w:type="paragraph" w:styleId="List">
    <w:name w:val="List"/>
    <w:basedOn w:val="Textbody"/>
    <w:rsid w:val="00B60D5B"/>
  </w:style>
  <w:style w:type="paragraph" w:styleId="Caption">
    <w:name w:val="caption"/>
    <w:basedOn w:val="Standard"/>
    <w:rsid w:val="00B60D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0D5B"/>
    <w:pPr>
      <w:suppressLineNumbers/>
    </w:pPr>
  </w:style>
  <w:style w:type="paragraph" w:customStyle="1" w:styleId="TableContents">
    <w:name w:val="Table Contents"/>
    <w:basedOn w:val="Standard"/>
    <w:rsid w:val="00B60D5B"/>
    <w:pPr>
      <w:suppressLineNumbers/>
    </w:pPr>
  </w:style>
  <w:style w:type="paragraph" w:styleId="NoSpacing">
    <w:name w:val="No Spacing"/>
    <w:rsid w:val="00B60D5B"/>
    <w:pPr>
      <w:widowControl/>
    </w:pPr>
    <w:rPr>
      <w:rFonts w:ascii="Calibri" w:eastAsia="Calibri" w:hAnsi="Calibri" w:cs="Times New Roman"/>
    </w:rPr>
  </w:style>
  <w:style w:type="character" w:customStyle="1" w:styleId="BulletSymbols">
    <w:name w:val="Bullet Symbols"/>
    <w:rsid w:val="00B60D5B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wilson</dc:creator>
  <cp:lastModifiedBy>Margaret</cp:lastModifiedBy>
  <cp:revision>1</cp:revision>
  <dcterms:created xsi:type="dcterms:W3CDTF">2014-10-18T10:41:00Z</dcterms:created>
  <dcterms:modified xsi:type="dcterms:W3CDTF">2014-10-22T08:06:00Z</dcterms:modified>
</cp:coreProperties>
</file>