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6303"/>
        <w:gridCol w:w="961"/>
      </w:tblGrid>
      <w:tr w:rsidR="00447BFD" w:rsidRPr="00493F4F" w:rsidTr="00673B23">
        <w:tc>
          <w:tcPr>
            <w:tcW w:w="9242" w:type="dxa"/>
            <w:gridSpan w:val="3"/>
          </w:tcPr>
          <w:p w:rsidR="00447BFD" w:rsidRPr="00493F4F" w:rsidRDefault="00447BFD" w:rsidP="00673B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493F4F">
              <w:rPr>
                <w:rFonts w:ascii="Comic Sans MS" w:hAnsi="Comic Sans MS"/>
                <w:b/>
                <w:sz w:val="16"/>
                <w:szCs w:val="16"/>
              </w:rPr>
              <w:t>Colintraive and Glendaruel Development Trust</w:t>
            </w:r>
          </w:p>
          <w:p w:rsidR="00447BFD" w:rsidRPr="00493F4F" w:rsidRDefault="00447BFD" w:rsidP="00673B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93F4F">
              <w:rPr>
                <w:rFonts w:ascii="Comic Sans MS" w:hAnsi="Comic Sans MS"/>
                <w:b/>
                <w:sz w:val="16"/>
                <w:szCs w:val="16"/>
              </w:rPr>
              <w:t>Minute of Board Meeting</w:t>
            </w:r>
          </w:p>
          <w:p w:rsidR="00447BFD" w:rsidRDefault="00447BFD" w:rsidP="00673B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Thurs</w:t>
            </w:r>
            <w:r w:rsidRPr="00493F4F">
              <w:rPr>
                <w:rFonts w:ascii="Comic Sans MS" w:hAnsi="Comic Sans MS"/>
                <w:b/>
                <w:sz w:val="16"/>
                <w:szCs w:val="16"/>
              </w:rPr>
              <w:t xml:space="preserve">day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  <w:r w:rsidRPr="00493F4F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May 2015; Colintraive Hall; 16.0</w:t>
            </w:r>
            <w:r w:rsidRPr="00493F4F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Present: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66" w:type="dxa"/>
            <w:gridSpan w:val="2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Colin Boyd (CB); Jim McLuckie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);Sandra Wilson (SW);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(JS); 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Apologies: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66" w:type="dxa"/>
            <w:gridSpan w:val="2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Charles Dixon Spain (CDS)</w:t>
            </w:r>
          </w:p>
        </w:tc>
      </w:tr>
      <w:tr w:rsidR="00447BFD" w:rsidRPr="00493F4F" w:rsidTr="00673B23">
        <w:tc>
          <w:tcPr>
            <w:tcW w:w="1776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attendance:</w:t>
            </w:r>
          </w:p>
        </w:tc>
        <w:tc>
          <w:tcPr>
            <w:tcW w:w="7466" w:type="dxa"/>
            <w:gridSpan w:val="2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Margaret Shields (MS); Eam</w:t>
            </w:r>
            <w:r w:rsidR="00BA44E8">
              <w:rPr>
                <w:rFonts w:ascii="Comic Sans MS" w:hAnsi="Comic Sans MS"/>
                <w:sz w:val="16"/>
                <w:szCs w:val="16"/>
              </w:rPr>
              <w:t>on King (EK); Stewart Miller (SM</w:t>
            </w:r>
            <w:r>
              <w:rPr>
                <w:rFonts w:ascii="Comic Sans MS" w:hAnsi="Comic Sans MS"/>
                <w:sz w:val="16"/>
                <w:szCs w:val="16"/>
              </w:rPr>
              <w:t>); Charlie Collins (CC)</w:t>
            </w: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9242" w:type="dxa"/>
            <w:gridSpan w:val="3"/>
          </w:tcPr>
          <w:p w:rsidR="00447BFD" w:rsidRDefault="00BA44E8" w:rsidP="002A73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chaired the meeting in the absence of CDS.</w:t>
            </w:r>
          </w:p>
          <w:p w:rsidR="002A73BF" w:rsidRDefault="002A73BF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Previous minute:</w:t>
            </w:r>
          </w:p>
        </w:tc>
        <w:tc>
          <w:tcPr>
            <w:tcW w:w="6497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Adoption of the draft minu</w:t>
            </w:r>
            <w:r w:rsidR="002A73BF">
              <w:rPr>
                <w:rFonts w:ascii="Comic Sans MS" w:hAnsi="Comic Sans MS"/>
                <w:sz w:val="16"/>
                <w:szCs w:val="16"/>
              </w:rPr>
              <w:t>te of the meeting held on the 26</w:t>
            </w:r>
            <w:r>
              <w:rPr>
                <w:rFonts w:ascii="Comic Sans MS" w:hAnsi="Comic Sans MS"/>
                <w:sz w:val="16"/>
                <w:szCs w:val="16"/>
              </w:rPr>
              <w:t>th March</w:t>
            </w:r>
            <w:r w:rsidR="002A73BF">
              <w:rPr>
                <w:rFonts w:ascii="Comic Sans MS" w:hAnsi="Comic Sans MS"/>
                <w:sz w:val="16"/>
                <w:szCs w:val="16"/>
              </w:rPr>
              <w:t xml:space="preserve"> 2015 was proposed by </w:t>
            </w:r>
            <w:proofErr w:type="spellStart"/>
            <w:proofErr w:type="gramStart"/>
            <w:r w:rsidR="002A73BF"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 w:rsidR="002A73BF">
              <w:rPr>
                <w:rFonts w:ascii="Comic Sans MS" w:hAnsi="Comic Sans MS"/>
                <w:sz w:val="16"/>
                <w:szCs w:val="16"/>
              </w:rPr>
              <w:t xml:space="preserve">  and</w:t>
            </w:r>
            <w:proofErr w:type="gramEnd"/>
            <w:r w:rsidR="002A73BF">
              <w:rPr>
                <w:rFonts w:ascii="Comic Sans MS" w:hAnsi="Comic Sans MS"/>
                <w:sz w:val="16"/>
                <w:szCs w:val="16"/>
              </w:rPr>
              <w:t xml:space="preserve"> seconded by JS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rPr>
          <w:trHeight w:val="508"/>
        </w:trPr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Finance and Administration:</w:t>
            </w:r>
          </w:p>
        </w:tc>
        <w:tc>
          <w:tcPr>
            <w:tcW w:w="6497" w:type="dxa"/>
          </w:tcPr>
          <w:p w:rsidR="002A73BF" w:rsidRPr="002A73BF" w:rsidRDefault="00447BFD" w:rsidP="00673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2A73BF">
              <w:rPr>
                <w:rFonts w:ascii="Comic Sans MS" w:hAnsi="Comic Sans MS"/>
                <w:sz w:val="16"/>
                <w:szCs w:val="16"/>
              </w:rPr>
              <w:t xml:space="preserve">MS had circulated a report prior to the meeting; </w:t>
            </w:r>
            <w:r w:rsidR="002A73BF" w:rsidRPr="002A73BF">
              <w:rPr>
                <w:rFonts w:ascii="Comic Sans MS" w:hAnsi="Comic Sans MS"/>
                <w:sz w:val="16"/>
                <w:szCs w:val="16"/>
              </w:rPr>
              <w:t>no decisions were necessary at the meeting.</w:t>
            </w:r>
          </w:p>
          <w:p w:rsidR="002A73BF" w:rsidRPr="002A73BF" w:rsidRDefault="002A73BF" w:rsidP="00673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A73BF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2A73BF">
              <w:rPr>
                <w:rFonts w:ascii="Comic Sans MS" w:hAnsi="Comic Sans MS"/>
                <w:sz w:val="16"/>
                <w:szCs w:val="16"/>
              </w:rPr>
              <w:t xml:space="preserve"> proposed that a monthly summary of employee hours and actions would be useful. MS agreed to prepare this.</w:t>
            </w:r>
          </w:p>
          <w:p w:rsidR="002A73BF" w:rsidRPr="002A73BF" w:rsidRDefault="002A73BF" w:rsidP="00673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2A73BF">
              <w:rPr>
                <w:rFonts w:ascii="Comic Sans MS" w:hAnsi="Comic Sans MS"/>
                <w:sz w:val="16"/>
                <w:szCs w:val="16"/>
              </w:rPr>
              <w:t>A date for the AGM would be set once information from the accountant became available.</w:t>
            </w:r>
          </w:p>
          <w:p w:rsidR="00447BFD" w:rsidRDefault="00447BFD" w:rsidP="002A73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Electronic </w:t>
            </w:r>
            <w:r w:rsidR="002A73BF">
              <w:rPr>
                <w:rFonts w:ascii="Comic Sans MS" w:hAnsi="Comic Sans MS"/>
                <w:sz w:val="16"/>
                <w:szCs w:val="16"/>
              </w:rPr>
              <w:t xml:space="preserve">payments were authorised by </w:t>
            </w:r>
            <w:proofErr w:type="spellStart"/>
            <w:r w:rsidR="002A73BF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CB</w:t>
            </w:r>
            <w:r w:rsidR="002A73B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47BFD" w:rsidRPr="00493F4F" w:rsidRDefault="00447BFD" w:rsidP="002A73BF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rPr>
          <w:trHeight w:val="508"/>
        </w:trPr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Stronafian Forest:</w:t>
            </w:r>
          </w:p>
        </w:tc>
        <w:tc>
          <w:tcPr>
            <w:tcW w:w="6497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 w:rsidRPr="00CA60D7">
              <w:rPr>
                <w:rFonts w:ascii="Comic Sans MS" w:hAnsi="Comic Sans MS"/>
                <w:sz w:val="16"/>
                <w:szCs w:val="16"/>
              </w:rPr>
              <w:t>EK had circulated a report prior to the meeting.</w:t>
            </w:r>
          </w:p>
          <w:p w:rsidR="00447BFD" w:rsidRPr="00CA60D7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E51FA0" w:rsidP="00447BF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Wind speed data suggested the necessity of a larger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turbine(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+10m) for financial viability. The implications for the planning process were discussed.</w:t>
            </w:r>
          </w:p>
          <w:p w:rsidR="00E51FA0" w:rsidRDefault="00E51FA0" w:rsidP="00447BF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Potential ecological damage at the original site necessitated an alternative turbine site</w:t>
            </w:r>
            <w:r w:rsidR="007F7EB2">
              <w:rPr>
                <w:rFonts w:ascii="Comic Sans MS" w:hAnsi="Comic Sans MS"/>
                <w:sz w:val="16"/>
                <w:szCs w:val="16"/>
              </w:rPr>
              <w:t xml:space="preserve"> subject to tenant agreement.</w:t>
            </w:r>
          </w:p>
          <w:p w:rsidR="007F7EB2" w:rsidRDefault="007F7EB2" w:rsidP="007F7E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Renewable claw-back issue not yet resolved. Documents pertinent to this matter were required urgently.</w:t>
            </w:r>
          </w:p>
          <w:p w:rsidR="007F7EB2" w:rsidRDefault="007F7EB2" w:rsidP="007F7E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board agreed that all the i</w:t>
            </w:r>
            <w:r w:rsidR="00F52E79">
              <w:rPr>
                <w:rFonts w:ascii="Comic Sans MS" w:hAnsi="Comic Sans MS"/>
                <w:sz w:val="16"/>
                <w:szCs w:val="16"/>
              </w:rPr>
              <w:t>ssues relating to proposed renewables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project</w:t>
            </w:r>
            <w:r w:rsidR="00F52E79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2E79">
              <w:rPr>
                <w:rFonts w:ascii="Comic Sans MS" w:hAnsi="Comic Sans MS"/>
                <w:sz w:val="16"/>
                <w:szCs w:val="16"/>
              </w:rPr>
              <w:t xml:space="preserve">(wind and hydro), </w:t>
            </w:r>
            <w:r>
              <w:rPr>
                <w:rFonts w:ascii="Comic Sans MS" w:hAnsi="Comic Sans MS"/>
                <w:sz w:val="16"/>
                <w:szCs w:val="16"/>
              </w:rPr>
              <w:t>should be explored fully by BC, EK, CDS and JS</w:t>
            </w:r>
            <w:r w:rsidR="00F52E79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>
              <w:rPr>
                <w:rFonts w:ascii="Comic Sans MS" w:hAnsi="Comic Sans MS"/>
                <w:sz w:val="16"/>
                <w:szCs w:val="16"/>
              </w:rPr>
              <w:t>recommendations should</w:t>
            </w:r>
            <w:r w:rsidR="00F52E79">
              <w:rPr>
                <w:rFonts w:ascii="Comic Sans MS" w:hAnsi="Comic Sans MS"/>
                <w:sz w:val="16"/>
                <w:szCs w:val="16"/>
              </w:rPr>
              <w:t xml:space="preserve"> subsequently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 made to the full board.</w:t>
            </w:r>
          </w:p>
          <w:p w:rsidR="007F7EB2" w:rsidRDefault="007F7EB2" w:rsidP="007F7E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requested that financial details were confirmed prior to community consultation; MS to attend to this.</w:t>
            </w:r>
          </w:p>
          <w:p w:rsidR="007F7EB2" w:rsidRDefault="00F52E79" w:rsidP="00447BF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 raised concerns about use of his personal vehicle for volunteer forest work; MS and JS to explore alternative arrangements.</w:t>
            </w:r>
          </w:p>
          <w:p w:rsidR="00F52E79" w:rsidRDefault="00F52E79" w:rsidP="00447BF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 reported that Bute Community Power had sought a letter of support from CGDT. The board agreed that this was not an appropriate function of the DT and requested EK to reply accordingly.</w:t>
            </w:r>
          </w:p>
          <w:p w:rsidR="001C48E4" w:rsidRPr="00933FDF" w:rsidRDefault="001C48E4" w:rsidP="001C48E4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  <w:p w:rsidR="007F7EB2" w:rsidRDefault="007F7EB2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7EB2" w:rsidRDefault="007F7EB2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7EB2" w:rsidRDefault="007F7EB2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7EB2" w:rsidRDefault="007F7EB2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7EB2" w:rsidRDefault="007F7EB2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  <w:p w:rsidR="00F52E79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2E79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2E79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MS/JS</w:t>
            </w:r>
          </w:p>
          <w:p w:rsidR="00F52E79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2E79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2E79" w:rsidRPr="00493F4F" w:rsidRDefault="00F52E79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</w:t>
            </w:r>
          </w:p>
        </w:tc>
      </w:tr>
      <w:tr w:rsidR="001C48E4" w:rsidRPr="00493F4F" w:rsidTr="00673B23">
        <w:trPr>
          <w:trHeight w:val="508"/>
        </w:trPr>
        <w:tc>
          <w:tcPr>
            <w:tcW w:w="1776" w:type="dxa"/>
          </w:tcPr>
          <w:p w:rsidR="001C48E4" w:rsidRDefault="001C48E4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Broadband:</w:t>
            </w:r>
          </w:p>
        </w:tc>
        <w:tc>
          <w:tcPr>
            <w:tcW w:w="6497" w:type="dxa"/>
          </w:tcPr>
          <w:p w:rsidR="001C48E4" w:rsidRPr="001C48E4" w:rsidRDefault="001C48E4" w:rsidP="001C48E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C48E4">
              <w:rPr>
                <w:rFonts w:ascii="Comic Sans MS" w:hAnsi="Comic Sans MS"/>
                <w:sz w:val="16"/>
                <w:szCs w:val="16"/>
              </w:rPr>
              <w:t>MS reported that the next meeting was scheduled for 18.06.15.</w:t>
            </w:r>
          </w:p>
        </w:tc>
        <w:tc>
          <w:tcPr>
            <w:tcW w:w="969" w:type="dxa"/>
          </w:tcPr>
          <w:p w:rsidR="001C48E4" w:rsidRDefault="001C48E4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Cowal Way:</w:t>
            </w:r>
          </w:p>
        </w:tc>
        <w:tc>
          <w:tcPr>
            <w:tcW w:w="6497" w:type="dxa"/>
          </w:tcPr>
          <w:p w:rsidR="00447BFD" w:rsidRPr="009F5E0F" w:rsidRDefault="001C48E4" w:rsidP="009F5E0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F5E0F">
              <w:rPr>
                <w:rFonts w:ascii="Comic Sans MS" w:hAnsi="Comic Sans MS"/>
                <w:sz w:val="16"/>
                <w:szCs w:val="16"/>
              </w:rPr>
              <w:t>CC’s  report</w:t>
            </w:r>
            <w:proofErr w:type="gramEnd"/>
            <w:r w:rsidRPr="009F5E0F">
              <w:rPr>
                <w:rFonts w:ascii="Comic Sans MS" w:hAnsi="Comic Sans MS"/>
                <w:sz w:val="16"/>
                <w:szCs w:val="16"/>
              </w:rPr>
              <w:t xml:space="preserve"> was circulated prior to meeting</w:t>
            </w:r>
            <w:r w:rsidR="00447BFD" w:rsidRPr="009F5E0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C48E4" w:rsidRPr="009F5E0F" w:rsidRDefault="001C48E4" w:rsidP="009F5E0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5E0F">
              <w:rPr>
                <w:rFonts w:ascii="Comic Sans MS" w:hAnsi="Comic Sans MS"/>
                <w:sz w:val="16"/>
                <w:szCs w:val="16"/>
              </w:rPr>
              <w:t xml:space="preserve">SM reported on progress with planning, marketing and making contacts. </w:t>
            </w:r>
          </w:p>
          <w:p w:rsidR="001C48E4" w:rsidRPr="009F5E0F" w:rsidRDefault="001C48E4" w:rsidP="009F5E0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5E0F">
              <w:rPr>
                <w:rFonts w:ascii="Comic Sans MS" w:hAnsi="Comic Sans MS"/>
                <w:sz w:val="16"/>
                <w:szCs w:val="16"/>
              </w:rPr>
              <w:t>SW to obtain hard copies of CW Risk Assessments then arrange meeting to assimilate CW paperwork into existing CGDT Health and Safety</w:t>
            </w:r>
            <w:r w:rsidR="009F5E0F">
              <w:rPr>
                <w:rFonts w:ascii="Comic Sans MS" w:hAnsi="Comic Sans MS"/>
                <w:sz w:val="16"/>
                <w:szCs w:val="16"/>
              </w:rPr>
              <w:t xml:space="preserve"> procedures</w:t>
            </w:r>
            <w:r w:rsidR="009F5E0F" w:rsidRPr="009F5E0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47BFD" w:rsidRPr="003A07A3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9F5E0F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AOCB:</w:t>
            </w:r>
          </w:p>
        </w:tc>
        <w:tc>
          <w:tcPr>
            <w:tcW w:w="6497" w:type="dxa"/>
          </w:tcPr>
          <w:p w:rsidR="00447BFD" w:rsidRPr="00C85AF7" w:rsidRDefault="009F5E0F" w:rsidP="00673B23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969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rPr>
          <w:trHeight w:val="333"/>
        </w:trPr>
        <w:tc>
          <w:tcPr>
            <w:tcW w:w="1776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97" w:type="dxa"/>
          </w:tcPr>
          <w:p w:rsidR="00447BFD" w:rsidRPr="003B4F37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9F5E0F" w:rsidP="00673B23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meeting ended at 17.45</w:t>
            </w:r>
          </w:p>
          <w:p w:rsidR="00447BFD" w:rsidRPr="00C85AF7" w:rsidRDefault="00447BFD" w:rsidP="00673B23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Future Meetings:</w:t>
            </w:r>
          </w:p>
        </w:tc>
        <w:tc>
          <w:tcPr>
            <w:tcW w:w="6497" w:type="dxa"/>
          </w:tcPr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DATES OF T</w:t>
            </w:r>
            <w:r w:rsidR="009F5E0F">
              <w:rPr>
                <w:rFonts w:ascii="Comic Sans MS" w:hAnsi="Comic Sans MS"/>
                <w:sz w:val="16"/>
                <w:szCs w:val="16"/>
              </w:rPr>
              <w:t>HE NEXT THREE MEETINGS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F5E0F">
              <w:rPr>
                <w:rFonts w:ascii="Comic Sans MS" w:hAnsi="Comic Sans MS"/>
                <w:sz w:val="16"/>
                <w:szCs w:val="16"/>
              </w:rPr>
              <w:t>AGREED</w:t>
            </w:r>
            <w:r>
              <w:rPr>
                <w:rFonts w:ascii="Comic Sans MS" w:hAnsi="Comic Sans MS"/>
                <w:sz w:val="16"/>
                <w:szCs w:val="16"/>
              </w:rPr>
              <w:t>AS FOLLOWS:</w:t>
            </w:r>
          </w:p>
          <w:p w:rsidR="009F5E0F" w:rsidRDefault="009F5E0F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5A43A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 2015 Glendaruel Hall, 16.00</w:t>
            </w: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803F2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 2015 Colintraive Hall, 16.00</w:t>
            </w:r>
          </w:p>
          <w:p w:rsidR="009F5E0F" w:rsidRDefault="009F5E0F" w:rsidP="00673B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9F5E0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August 2015 Glendaruel Hall, 14.00</w:t>
            </w: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Pr="00493F4F" w:rsidRDefault="00447BFD" w:rsidP="00673B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ADOPTION:    </w:t>
            </w:r>
          </w:p>
        </w:tc>
        <w:tc>
          <w:tcPr>
            <w:tcW w:w="6497" w:type="dxa"/>
          </w:tcPr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97" w:type="dxa"/>
          </w:tcPr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97" w:type="dxa"/>
          </w:tcPr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969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97" w:type="dxa"/>
          </w:tcPr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7BFD" w:rsidRPr="00493F4F" w:rsidTr="00673B23">
        <w:tc>
          <w:tcPr>
            <w:tcW w:w="1776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97" w:type="dxa"/>
          </w:tcPr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447BFD" w:rsidRPr="00516EB3" w:rsidRDefault="00447BFD" w:rsidP="00673B2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9" w:type="dxa"/>
          </w:tcPr>
          <w:p w:rsidR="00447BFD" w:rsidRPr="00516EB3" w:rsidRDefault="00447BFD" w:rsidP="00673B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E4251" w:rsidRDefault="001E4251"/>
    <w:sectPr w:rsidR="001E4251" w:rsidSect="001E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3E1"/>
    <w:multiLevelType w:val="hybridMultilevel"/>
    <w:tmpl w:val="0024A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46E60"/>
    <w:multiLevelType w:val="hybridMultilevel"/>
    <w:tmpl w:val="48487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865AA"/>
    <w:multiLevelType w:val="hybridMultilevel"/>
    <w:tmpl w:val="D40C7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A7E64"/>
    <w:multiLevelType w:val="hybridMultilevel"/>
    <w:tmpl w:val="532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D"/>
    <w:rsid w:val="001C48E4"/>
    <w:rsid w:val="001E4251"/>
    <w:rsid w:val="002A73BF"/>
    <w:rsid w:val="0031020E"/>
    <w:rsid w:val="00447BFD"/>
    <w:rsid w:val="007F7EB2"/>
    <w:rsid w:val="00901627"/>
    <w:rsid w:val="009F5E0F"/>
    <w:rsid w:val="00BA44E8"/>
    <w:rsid w:val="00E51FA0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81D20-84FB-4DEC-BE41-7B5B9F7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7BFD"/>
    <w:pPr>
      <w:ind w:left="720"/>
      <w:contextualSpacing/>
    </w:pPr>
  </w:style>
  <w:style w:type="paragraph" w:styleId="NoSpacing">
    <w:name w:val="No Spacing"/>
    <w:uiPriority w:val="1"/>
    <w:qFormat/>
    <w:rsid w:val="00447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dcterms:created xsi:type="dcterms:W3CDTF">2015-06-16T15:16:00Z</dcterms:created>
  <dcterms:modified xsi:type="dcterms:W3CDTF">2015-06-16T15:16:00Z</dcterms:modified>
</cp:coreProperties>
</file>