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4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3"/>
        <w:gridCol w:w="32"/>
        <w:gridCol w:w="6677"/>
        <w:gridCol w:w="992"/>
      </w:tblGrid>
      <w:tr w:rsidR="00BE260B" w:rsidTr="00195911">
        <w:trPr>
          <w:trHeight w:val="1140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Minute of Meeting of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Colintraive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Glendaruel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Development Trust Board</w:t>
            </w:r>
          </w:p>
          <w:p w:rsidR="00BE260B" w:rsidRPr="006A07F7" w:rsidRDefault="00BE260B" w:rsidP="0019591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Thursday 19th November 2015; 16.00;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Colintraive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Hall</w:t>
            </w:r>
          </w:p>
        </w:tc>
      </w:tr>
      <w:tr w:rsidR="00BE260B" w:rsidTr="00195911">
        <w:trPr>
          <w:trHeight w:val="234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Present: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;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Sandra Wilson (SW); Jim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McLuckie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); Cathy Grant (CG); Michael Kaufmann (MK); Colin Boyd (CB)</w:t>
            </w:r>
          </w:p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In attendance: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BE2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Margaret Shields (MS); Charlie Collins (CC); Stewart Miller (SM) </w:t>
            </w:r>
          </w:p>
          <w:p w:rsidR="00BE260B" w:rsidRDefault="00BE260B" w:rsidP="00BE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Apologies: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BE2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Charles Dixon-Spain (CDS); John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Shiveral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(JS);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Sue Read (SR)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;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Eamon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King (EK)</w:t>
            </w:r>
          </w:p>
          <w:p w:rsidR="00BE260B" w:rsidRPr="006A07F7" w:rsidRDefault="00BE260B" w:rsidP="00BE26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</w:tr>
      <w:tr w:rsidR="00BE260B" w:rsidTr="00195911">
        <w:trPr>
          <w:trHeight w:val="231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</w:p>
        </w:tc>
      </w:tr>
      <w:tr w:rsidR="00BE260B" w:rsidTr="00195911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Previous minute: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 draft mi</w:t>
            </w:r>
            <w:r>
              <w:rPr>
                <w:rFonts w:ascii="Comic Sans MS" w:eastAsia="Comic Sans MS" w:hAnsi="Comic Sans MS" w:cs="Comic Sans MS"/>
                <w:sz w:val="16"/>
              </w:rPr>
              <w:t>nute of the previous meeting (22ndOcto</w:t>
            </w:r>
            <w:r>
              <w:rPr>
                <w:rFonts w:ascii="Comic Sans MS" w:eastAsia="Comic Sans MS" w:hAnsi="Comic Sans MS" w:cs="Comic Sans MS"/>
                <w:sz w:val="16"/>
              </w:rPr>
              <w:t>ber 2015)</w:t>
            </w:r>
            <w:r>
              <w:rPr>
                <w:rFonts w:ascii="Comic Sans MS" w:eastAsia="Comic Sans MS" w:hAnsi="Comic Sans MS" w:cs="Comic Sans MS"/>
                <w:sz w:val="16"/>
              </w:rPr>
              <w:t>, was approved (proposed by MK</w:t>
            </w:r>
            <w:r>
              <w:rPr>
                <w:rFonts w:ascii="Comic Sans MS" w:eastAsia="Comic Sans MS" w:hAnsi="Comic Sans MS" w:cs="Comic Sans MS"/>
                <w:sz w:val="16"/>
              </w:rPr>
              <w:t>; seconded by CG).</w:t>
            </w: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Pr="002A6DA6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Matters Arising: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BE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A6DA6">
              <w:rPr>
                <w:rFonts w:ascii="Comic Sans MS" w:hAnsi="Comic Sans MS"/>
                <w:sz w:val="16"/>
                <w:szCs w:val="16"/>
              </w:rPr>
              <w:t>Public toilets issue would</w:t>
            </w:r>
            <w:r w:rsidR="00937F42">
              <w:rPr>
                <w:rFonts w:ascii="Comic Sans MS" w:hAnsi="Comic Sans MS"/>
                <w:sz w:val="16"/>
                <w:szCs w:val="16"/>
              </w:rPr>
              <w:t xml:space="preserve"> be discussed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 the end of the meeting</w:t>
            </w:r>
            <w:r w:rsidRPr="002A6DA6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BE260B" w:rsidRPr="002A6DA6" w:rsidRDefault="00BE260B" w:rsidP="00195911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</w:p>
        </w:tc>
      </w:tr>
      <w:tr w:rsidR="00BE260B" w:rsidTr="00195911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Finance and Administration:</w:t>
            </w: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 circulated a report by e-mail prior to the meeting. The following was agreed/discussed:</w:t>
            </w:r>
          </w:p>
          <w:p w:rsidR="00611A59" w:rsidRDefault="00611A59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11A59" w:rsidRDefault="00611A59" w:rsidP="00BE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MS advised the board of an error in the previous month’s accounts; the board approved the </w:t>
            </w:r>
            <w:r w:rsidR="00067EEA">
              <w:rPr>
                <w:rFonts w:ascii="Comic Sans MS" w:hAnsi="Comic Sans MS"/>
                <w:sz w:val="16"/>
                <w:szCs w:val="16"/>
              </w:rPr>
              <w:t>rectified account.</w:t>
            </w:r>
          </w:p>
          <w:p w:rsidR="00BE260B" w:rsidRDefault="00BE260B" w:rsidP="00BE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20279">
              <w:rPr>
                <w:rFonts w:ascii="Comic Sans MS" w:hAnsi="Comic Sans MS"/>
                <w:sz w:val="16"/>
                <w:szCs w:val="16"/>
              </w:rPr>
              <w:t>Board approved financial report.</w:t>
            </w:r>
          </w:p>
          <w:p w:rsidR="00BE260B" w:rsidRDefault="00BE260B" w:rsidP="00BE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MS reported that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polytunn</w:t>
            </w:r>
            <w:r w:rsidR="00611A59">
              <w:rPr>
                <w:rFonts w:ascii="Comic Sans MS" w:hAnsi="Comic Sans MS"/>
                <w:sz w:val="16"/>
                <w:szCs w:val="16"/>
              </w:rPr>
              <w:t>els</w:t>
            </w:r>
            <w:proofErr w:type="spellEnd"/>
            <w:r w:rsidR="00611A59">
              <w:rPr>
                <w:rFonts w:ascii="Comic Sans MS" w:hAnsi="Comic Sans MS"/>
                <w:sz w:val="16"/>
                <w:szCs w:val="16"/>
              </w:rPr>
              <w:t xml:space="preserve"> would have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be removed from CGDT’s insurance policy and arranged directly by the growers. MS would liaise with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</w:t>
            </w:r>
            <w:r w:rsidR="00611A59">
              <w:rPr>
                <w:rFonts w:ascii="Comic Sans MS" w:hAnsi="Comic Sans MS"/>
                <w:sz w:val="16"/>
                <w:szCs w:val="16"/>
              </w:rPr>
              <w:t>L</w:t>
            </w:r>
            <w:proofErr w:type="spellEnd"/>
            <w:r w:rsidR="00611A59">
              <w:rPr>
                <w:rFonts w:ascii="Comic Sans MS" w:hAnsi="Comic Sans MS"/>
                <w:sz w:val="16"/>
                <w:szCs w:val="16"/>
              </w:rPr>
              <w:t xml:space="preserve"> to establish a paper trail relating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hand-over of the asset to the growers, for the record. The board supported MS’</w:t>
            </w:r>
            <w:r w:rsidR="00B60E82">
              <w:rPr>
                <w:rFonts w:ascii="Comic Sans MS" w:hAnsi="Comic Sans MS"/>
                <w:sz w:val="16"/>
                <w:szCs w:val="16"/>
              </w:rPr>
              <w:t>s recommendation to continue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the existing insurer for</w:t>
            </w:r>
            <w:r w:rsidR="00B60E82">
              <w:rPr>
                <w:rFonts w:ascii="Comic Sans MS" w:hAnsi="Comic Sans MS"/>
                <w:sz w:val="16"/>
                <w:szCs w:val="16"/>
              </w:rPr>
              <w:t xml:space="preserve"> CGDT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BE260B" w:rsidRPr="00937F42" w:rsidRDefault="00937F42" w:rsidP="00937F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Clachan</w:t>
            </w:r>
            <w:r w:rsidR="00B60E82">
              <w:rPr>
                <w:rFonts w:ascii="Comic Sans MS" w:hAnsi="Comic Sans MS"/>
                <w:sz w:val="16"/>
                <w:szCs w:val="16"/>
              </w:rPr>
              <w:t xml:space="preserve"> Hub project</w:t>
            </w:r>
            <w:r>
              <w:rPr>
                <w:rFonts w:ascii="Comic Sans MS" w:hAnsi="Comic Sans MS"/>
                <w:sz w:val="16"/>
                <w:szCs w:val="16"/>
              </w:rPr>
              <w:t>: first of two</w:t>
            </w:r>
            <w:r w:rsidR="00B60E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focus group meetings to be held on the 26</w:t>
            </w:r>
            <w:r w:rsidRPr="00937F4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 2015 in preparation for options appraisal.</w:t>
            </w:r>
          </w:p>
          <w:p w:rsidR="00BE260B" w:rsidRDefault="00B60E82" w:rsidP="00BE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Broadband</w:t>
            </w:r>
            <w:r w:rsidR="00937F42">
              <w:rPr>
                <w:rFonts w:ascii="Comic Sans MS" w:hAnsi="Comic Sans MS"/>
                <w:sz w:val="16"/>
                <w:szCs w:val="16"/>
              </w:rPr>
              <w:t xml:space="preserve"> was progressing.</w:t>
            </w:r>
          </w:p>
          <w:p w:rsidR="00B60E82" w:rsidRDefault="00937F42" w:rsidP="00BE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Board supported the suggested bigger project aim for the </w:t>
            </w:r>
            <w:proofErr w:type="spellStart"/>
            <w:r w:rsidR="00B60E82"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 w:rsidR="00B60E82">
              <w:rPr>
                <w:rFonts w:ascii="Comic Sans MS" w:hAnsi="Comic Sans MS"/>
                <w:sz w:val="16"/>
                <w:szCs w:val="16"/>
              </w:rPr>
              <w:t xml:space="preserve"> former shop building</w:t>
            </w:r>
            <w:r>
              <w:rPr>
                <w:rFonts w:ascii="Comic Sans MS" w:hAnsi="Comic Sans MS"/>
                <w:sz w:val="16"/>
                <w:szCs w:val="16"/>
              </w:rPr>
              <w:t>, to include an extended walk and water access.</w:t>
            </w:r>
          </w:p>
          <w:p w:rsidR="00BE260B" w:rsidRPr="008E4616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E260B" w:rsidRPr="00C73858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Cowal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Way: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CC and SM circulated reports prior to the meeting; the following was reported/discussed:</w:t>
            </w:r>
          </w:p>
          <w:p w:rsidR="00BE260B" w:rsidRDefault="00937F42" w:rsidP="00BE2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SM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,CC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had completed the amendments to the CW Guide.</w:t>
            </w:r>
          </w:p>
          <w:p w:rsidR="00BE260B" w:rsidRPr="00566C5E" w:rsidRDefault="00937F42" w:rsidP="00BE26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An informal local distance route forum had been set up between CW, WHW,</w:t>
            </w:r>
            <w:r w:rsidR="00E84A25">
              <w:rPr>
                <w:rFonts w:ascii="Comic Sans MS" w:eastAsia="Comic Sans MS" w:hAnsi="Comic Sans MS" w:cs="Comic Sans MS"/>
                <w:sz w:val="16"/>
              </w:rPr>
              <w:t xml:space="preserve"> WIW, KW and 3 Lochs to share knowledge.</w:t>
            </w:r>
          </w:p>
          <w:p w:rsidR="00BE260B" w:rsidRDefault="00E84A25" w:rsidP="00E8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 board supported SM’s request to use £1400 from CW ring-fenced funds to purchase CW merchandise (T-shirts etc for subsequent re-sale), subject to MS checking balance.</w:t>
            </w:r>
          </w:p>
          <w:p w:rsidR="00E84A25" w:rsidRDefault="00E84A25" w:rsidP="00E8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CC and SM to attend four major shows to promote CW.</w:t>
            </w:r>
          </w:p>
          <w:p w:rsidR="00E84A25" w:rsidRDefault="00E84A25" w:rsidP="00E8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SM and CC had offered to host the NLDR meeting in May next year.</w:t>
            </w:r>
          </w:p>
          <w:p w:rsidR="00E84A25" w:rsidRDefault="00E84A25" w:rsidP="00E8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Path construction was progressing well and on-schedule.</w:t>
            </w:r>
          </w:p>
          <w:p w:rsidR="00611A59" w:rsidRPr="00E84A25" w:rsidRDefault="00611A59" w:rsidP="00611A59">
            <w:pPr>
              <w:pStyle w:val="ListParagraph"/>
              <w:spacing w:after="0" w:line="240" w:lineRule="auto"/>
              <w:ind w:left="360"/>
              <w:rPr>
                <w:rFonts w:ascii="Comic Sans MS" w:eastAsia="Comic Sans MS" w:hAnsi="Comic Sans MS" w:cs="Comic Sans MS"/>
                <w:sz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611A59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MS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Pr="00827F53" w:rsidRDefault="00BE260B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E260B" w:rsidTr="00195911">
        <w:trPr>
          <w:trHeight w:val="1845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Stronafian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Forest: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E84A25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presented </w:t>
            </w:r>
            <w:r w:rsidR="00BE260B">
              <w:rPr>
                <w:rFonts w:ascii="Comic Sans MS" w:eastAsia="Comic Sans MS" w:hAnsi="Comic Sans MS" w:cs="Comic Sans MS"/>
                <w:sz w:val="16"/>
              </w:rPr>
              <w:t>EK</w:t>
            </w:r>
            <w:r>
              <w:rPr>
                <w:rFonts w:ascii="Comic Sans MS" w:eastAsia="Comic Sans MS" w:hAnsi="Comic Sans MS" w:cs="Comic Sans MS"/>
                <w:sz w:val="16"/>
              </w:rPr>
              <w:t>’s report</w:t>
            </w:r>
            <w:r w:rsidR="00BE260B">
              <w:rPr>
                <w:rFonts w:ascii="Comic Sans MS" w:eastAsia="Comic Sans MS" w:hAnsi="Comic Sans MS" w:cs="Comic Sans MS"/>
                <w:sz w:val="16"/>
              </w:rPr>
              <w:t>; the following was discussed:</w:t>
            </w:r>
          </w:p>
          <w:p w:rsidR="00BE260B" w:rsidRDefault="0031441E" w:rsidP="00BE2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Wind turbine planning decision was unlikely before the end of the year. The met mast had been removed and tenant was now extending the road.</w:t>
            </w:r>
          </w:p>
          <w:p w:rsidR="0031441E" w:rsidRDefault="0031441E" w:rsidP="00BE2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 volunteering project had been delayed by recent poor weather conditions.</w:t>
            </w:r>
          </w:p>
          <w:p w:rsidR="0031441E" w:rsidRDefault="0031441E" w:rsidP="00BE2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A new tree nursery was underway at 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Auchategan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entrance.</w:t>
            </w:r>
          </w:p>
          <w:p w:rsidR="0031441E" w:rsidRDefault="0031441E" w:rsidP="00BE2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 community update meeting had been held.</w:t>
            </w:r>
          </w:p>
          <w:p w:rsidR="0031441E" w:rsidRDefault="0031441E" w:rsidP="00BE2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EK had been asked to develop a native aspen project on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Stronafian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.</w:t>
            </w:r>
          </w:p>
          <w:p w:rsidR="0031441E" w:rsidRDefault="0031441E" w:rsidP="00BE2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An application was being finished by EK (after input by MS), for submission to the People’s Project.</w:t>
            </w:r>
          </w:p>
          <w:p w:rsidR="0031441E" w:rsidRPr="00566C5E" w:rsidRDefault="0031441E" w:rsidP="0031441E">
            <w:pPr>
              <w:pStyle w:val="ListParagraph"/>
              <w:spacing w:after="0" w:line="240" w:lineRule="auto"/>
              <w:ind w:left="360"/>
              <w:rPr>
                <w:rFonts w:ascii="Comic Sans MS" w:eastAsia="Comic Sans MS" w:hAnsi="Comic Sans MS" w:cs="Comic Sans MS"/>
                <w:sz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  <w:p w:rsidR="00BE260B" w:rsidRDefault="00BE260B" w:rsidP="00195911">
            <w:pPr>
              <w:spacing w:after="0" w:line="240" w:lineRule="auto"/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AOB:</w:t>
            </w: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Pr="00681A80" w:rsidRDefault="0031441E" w:rsidP="00195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Mowatt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had asked the DT to consider ABC’s proposal for communities to take on responsibility for public toilets t</w:t>
            </w:r>
            <w:r w:rsidR="00067EEA">
              <w:rPr>
                <w:rFonts w:ascii="Comic Sans MS" w:hAnsi="Comic Sans MS"/>
                <w:sz w:val="16"/>
                <w:szCs w:val="16"/>
              </w:rPr>
              <w:t>hrough service level agreements (the toilets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would otherwise not reopen next spring</w:t>
            </w:r>
            <w:r w:rsidR="00067EEA"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="00611A59"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 w:rsidR="00611A59">
              <w:rPr>
                <w:rFonts w:ascii="Comic Sans MS" w:hAnsi="Comic Sans MS"/>
                <w:sz w:val="16"/>
                <w:szCs w:val="16"/>
              </w:rPr>
              <w:t xml:space="preserve"> would register </w:t>
            </w:r>
            <w:r>
              <w:rPr>
                <w:rFonts w:ascii="Comic Sans MS" w:hAnsi="Comic Sans MS"/>
                <w:sz w:val="16"/>
                <w:szCs w:val="16"/>
              </w:rPr>
              <w:t>CGDT’s interest with ABC in order to progress the matter.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:rsidR="0031441E" w:rsidRDefault="0031441E" w:rsidP="00195911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:rsidR="0031441E" w:rsidRPr="003B365A" w:rsidRDefault="0031441E" w:rsidP="00195911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AMcN</w:t>
            </w:r>
            <w:proofErr w:type="spellEnd"/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>Future Meetings:</w:t>
            </w: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Meeting dates were arranged, as follows:</w:t>
            </w:r>
          </w:p>
          <w:p w:rsidR="00611A59" w:rsidRDefault="00611A59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611A59" w:rsidRPr="00611A59" w:rsidRDefault="00611A59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  <w:u w:val="single"/>
              </w:rPr>
            </w:pPr>
            <w:r w:rsidRPr="00611A59">
              <w:rPr>
                <w:rFonts w:ascii="Comic Sans MS" w:eastAsia="Comic Sans MS" w:hAnsi="Comic Sans MS" w:cs="Comic Sans MS"/>
                <w:b/>
                <w:sz w:val="16"/>
                <w:u w:val="single"/>
              </w:rPr>
              <w:t>N.B. MEETING START TIMES CHANGED TO 15.00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17</w:t>
            </w:r>
            <w:r w:rsidRPr="006A07F7"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December 2015</w:t>
            </w:r>
            <w:r w:rsidR="00611A59">
              <w:rPr>
                <w:rFonts w:ascii="Comic Sans MS" w:eastAsia="Comic Sans MS" w:hAnsi="Comic Sans MS" w:cs="Comic Sans MS"/>
                <w:sz w:val="16"/>
              </w:rPr>
              <w:t xml:space="preserve"> at 15.00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in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Glendaruel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Hall</w:t>
            </w:r>
            <w:r w:rsidR="00611A5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611A59" w:rsidRDefault="00611A59" w:rsidP="00611A5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</w:t>
            </w:r>
            <w:r>
              <w:rPr>
                <w:rFonts w:ascii="Comic Sans MS" w:eastAsia="Comic Sans MS" w:hAnsi="Comic Sans MS" w:cs="Comic Sans MS"/>
                <w:sz w:val="16"/>
              </w:rPr>
              <w:t>28</w:t>
            </w:r>
            <w:r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January 2016 at 15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.00 in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Colintraive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Hall</w:t>
            </w:r>
          </w:p>
          <w:p w:rsidR="00611A59" w:rsidRDefault="00611A59" w:rsidP="00611A5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25th February 2016 at 15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.00  in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Glendaruel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Hall </w:t>
            </w:r>
          </w:p>
          <w:p w:rsidR="00611A59" w:rsidRDefault="00611A59" w:rsidP="00195911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ADOPTION:    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Proposed: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                       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   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Seconded: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SIGNED:  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</w:p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      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Chairman:</w:t>
            </w:r>
          </w:p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BE260B" w:rsidRDefault="00BE260B" w:rsidP="0019591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60B" w:rsidTr="00195911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DATE:       </w:t>
            </w:r>
          </w:p>
          <w:p w:rsidR="00BE260B" w:rsidRDefault="00BE260B" w:rsidP="00195911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BE260B" w:rsidRDefault="00BE260B" w:rsidP="0019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B131A" w:rsidRDefault="006B131A"/>
    <w:sectPr w:rsidR="006B131A" w:rsidSect="006B1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D94"/>
    <w:multiLevelType w:val="hybridMultilevel"/>
    <w:tmpl w:val="13C82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91B4D"/>
    <w:multiLevelType w:val="hybridMultilevel"/>
    <w:tmpl w:val="1A0EF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882EFF"/>
    <w:multiLevelType w:val="hybridMultilevel"/>
    <w:tmpl w:val="0104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60B"/>
    <w:rsid w:val="00067EEA"/>
    <w:rsid w:val="0031441E"/>
    <w:rsid w:val="00611A59"/>
    <w:rsid w:val="006B131A"/>
    <w:rsid w:val="00937F42"/>
    <w:rsid w:val="00B60E82"/>
    <w:rsid w:val="00BE260B"/>
    <w:rsid w:val="00E8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2015-12-14T17:18:00Z</dcterms:created>
  <dcterms:modified xsi:type="dcterms:W3CDTF">2015-12-14T20:26:00Z</dcterms:modified>
</cp:coreProperties>
</file>