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4" w:type="dxa"/>
        <w:tblInd w:w="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32"/>
        <w:gridCol w:w="6677"/>
        <w:gridCol w:w="992"/>
      </w:tblGrid>
      <w:tr w:rsidR="00C41B2A" w:rsidTr="007407D9">
        <w:trPr>
          <w:trHeight w:val="851"/>
        </w:trPr>
        <w:tc>
          <w:tcPr>
            <w:tcW w:w="919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Minute of Meeting of Colintraive and Glendaruel Development Trust Board</w:t>
            </w:r>
          </w:p>
          <w:p w:rsidR="00C41B2A" w:rsidRPr="006A07F7" w:rsidRDefault="00C41B2A" w:rsidP="0092167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Thursday 21st April 2016; 15.00; Glendaruel Hall</w:t>
            </w:r>
          </w:p>
        </w:tc>
      </w:tr>
      <w:tr w:rsidR="00C41B2A" w:rsidTr="0092167C">
        <w:trPr>
          <w:trHeight w:val="234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Present: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0C58F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Sue Read (SR) ;Alex McNaughton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); Sandra Wilson (SW); Jim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McLuckie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); Cathy Grant (CG) ; </w:t>
            </w:r>
          </w:p>
          <w:p w:rsidR="000C58FB" w:rsidRDefault="000C58FB" w:rsidP="000C58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B2A" w:rsidTr="0092167C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Pr="00796476" w:rsidRDefault="00C41B2A" w:rsidP="0092167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796476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0C58F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Sara Maclean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); </w:t>
            </w:r>
          </w:p>
          <w:p w:rsidR="000C58FB" w:rsidRPr="00796476" w:rsidRDefault="000C58FB" w:rsidP="000C58FB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</w:tr>
      <w:tr w:rsidR="00C41B2A" w:rsidTr="0092167C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Apologies: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C58FB" w:rsidRDefault="000C58FB" w:rsidP="000C58F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Charles Dixon-Spain (CDS); Colin Boyd (CB) ; John Shiveral (JS); </w:t>
            </w:r>
            <w:r w:rsidR="00C41B2A">
              <w:rPr>
                <w:rFonts w:ascii="Comic Sans MS" w:eastAsia="Comic Sans MS" w:hAnsi="Comic Sans MS" w:cs="Comic Sans MS"/>
                <w:sz w:val="16"/>
              </w:rPr>
              <w:t>Margaret Shields (MS); Eamon King (EK);Michael Kaufmann (MK)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; </w:t>
            </w:r>
            <w:r w:rsidRPr="00796476">
              <w:rPr>
                <w:rFonts w:ascii="Comic Sans MS" w:eastAsia="Calibri" w:hAnsi="Comic Sans MS" w:cs="Calibri"/>
                <w:sz w:val="16"/>
                <w:szCs w:val="16"/>
              </w:rPr>
              <w:t>Charlie Collins (CC)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; Stewart Miller (SM)</w:t>
            </w:r>
          </w:p>
          <w:p w:rsidR="00C41B2A" w:rsidRPr="00F63D53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</w:tc>
      </w:tr>
      <w:tr w:rsidR="00B40EFF" w:rsidTr="00B40EFF">
        <w:trPr>
          <w:trHeight w:val="104"/>
        </w:trPr>
        <w:tc>
          <w:tcPr>
            <w:tcW w:w="820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B40EFF" w:rsidRDefault="00B40EFF" w:rsidP="0092167C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C58FB">
              <w:rPr>
                <w:rFonts w:ascii="Comic Sans MS" w:eastAsia="Calibri" w:hAnsi="Comic Sans MS" w:cs="Calibri"/>
                <w:sz w:val="16"/>
                <w:szCs w:val="16"/>
              </w:rPr>
              <w:t xml:space="preserve">The meeting was chaired by </w:t>
            </w:r>
            <w:proofErr w:type="spellStart"/>
            <w:r w:rsidRPr="000C58FB">
              <w:rPr>
                <w:rFonts w:ascii="Comic Sans MS" w:eastAsia="Calibri" w:hAnsi="Comic Sans MS" w:cs="Calibri"/>
                <w:sz w:val="16"/>
                <w:szCs w:val="16"/>
              </w:rPr>
              <w:t>JMcL</w:t>
            </w:r>
            <w:proofErr w:type="spellEnd"/>
            <w:r w:rsidRPr="000C58FB">
              <w:rPr>
                <w:rFonts w:ascii="Comic Sans MS" w:eastAsia="Calibri" w:hAnsi="Comic Sans MS" w:cs="Calibri"/>
                <w:sz w:val="16"/>
                <w:szCs w:val="16"/>
              </w:rPr>
              <w:t xml:space="preserve"> in the absence of CDS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>. G</w:t>
            </w:r>
            <w:r w:rsidRPr="000C58FB">
              <w:rPr>
                <w:rFonts w:ascii="Comic Sans MS" w:eastAsia="Calibri" w:hAnsi="Comic Sans MS" w:cs="Calibri"/>
                <w:sz w:val="16"/>
                <w:szCs w:val="16"/>
              </w:rPr>
              <w:t xml:space="preserve">iven the absence of </w:t>
            </w:r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so many board members, JMCL suggested that an additional meeting should be convened in order to make several important decisions regarding both the Clachan Hub and </w:t>
            </w:r>
            <w:proofErr w:type="spellStart"/>
            <w:r>
              <w:rPr>
                <w:rFonts w:ascii="Comic Sans MS" w:eastAsia="Calibri" w:hAnsi="Comic Sans MS" w:cs="Calibri"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eastAsia="Calibri" w:hAnsi="Comic Sans MS" w:cs="Calibri"/>
                <w:sz w:val="16"/>
                <w:szCs w:val="16"/>
              </w:rPr>
              <w:t xml:space="preserve"> Wind Turbines. This was agreed. SW would determine availability by e-mail and arrange the meeting accordingly.</w:t>
            </w:r>
            <w:r w:rsidR="000135B9">
              <w:rPr>
                <w:rFonts w:ascii="Comic Sans MS" w:eastAsia="Calibri" w:hAnsi="Comic Sans MS" w:cs="Calibri"/>
                <w:sz w:val="16"/>
                <w:szCs w:val="16"/>
              </w:rPr>
              <w:t xml:space="preserve"> Those who could not attend would be asked to circulate their thoughts by e-mail prior to the meeting if possible</w:t>
            </w:r>
          </w:p>
          <w:p w:rsidR="00B40EFF" w:rsidRDefault="00B40EFF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000000" w:fill="FFFFFF"/>
          </w:tcPr>
          <w:p w:rsidR="00B40EFF" w:rsidRPr="00B40EFF" w:rsidRDefault="00B40EFF" w:rsidP="0092167C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B40EFF">
              <w:rPr>
                <w:rFonts w:ascii="Comic Sans MS" w:eastAsia="Calibri" w:hAnsi="Comic Sans MS" w:cs="Calibri"/>
                <w:sz w:val="16"/>
                <w:szCs w:val="16"/>
              </w:rPr>
              <w:t>SW</w:t>
            </w:r>
          </w:p>
        </w:tc>
      </w:tr>
      <w:tr w:rsidR="00C41B2A" w:rsidTr="0092167C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Previous minute: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Pr="00F63D53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63D53">
              <w:rPr>
                <w:rFonts w:ascii="Comic Sans MS" w:hAnsi="Comic Sans MS"/>
                <w:sz w:val="16"/>
                <w:szCs w:val="16"/>
              </w:rPr>
              <w:t>Minute of</w:t>
            </w:r>
            <w:r w:rsidR="0035584E">
              <w:rPr>
                <w:rFonts w:ascii="Comic Sans MS" w:hAnsi="Comic Sans MS"/>
                <w:sz w:val="16"/>
                <w:szCs w:val="16"/>
              </w:rPr>
              <w:t xml:space="preserve"> March  meeting was proposed by SR </w:t>
            </w:r>
            <w:r w:rsidRPr="00F63D53">
              <w:rPr>
                <w:rFonts w:ascii="Comic Sans MS" w:hAnsi="Comic Sans MS"/>
                <w:sz w:val="16"/>
                <w:szCs w:val="16"/>
              </w:rPr>
              <w:t>and seconded by C</w:t>
            </w:r>
            <w:r w:rsidR="0035584E">
              <w:rPr>
                <w:rFonts w:ascii="Comic Sans MS" w:hAnsi="Comic Sans MS"/>
                <w:sz w:val="16"/>
                <w:szCs w:val="16"/>
              </w:rPr>
              <w:t>G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B2A" w:rsidTr="0092167C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Pr="002A6DA6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Pr="002A6DA6" w:rsidRDefault="00C41B2A" w:rsidP="003558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Pr="00751075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41B2A" w:rsidTr="007407D9">
        <w:trPr>
          <w:trHeight w:val="3240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Clachan Hub: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B40EFF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The business plan was discussed and concerns were raised that it appeared to</w:t>
            </w:r>
            <w:r w:rsidR="0015014D">
              <w:rPr>
                <w:rFonts w:ascii="Comic Sans MS" w:eastAsia="Comic Sans MS" w:hAnsi="Comic Sans MS" w:cs="Comic Sans MS"/>
                <w:sz w:val="16"/>
              </w:rPr>
              <w:t xml:space="preserve"> be generic and not specific to this community. Reference to community affluence was particularly concerning; community need (as opposed to want) had never been related to poverty but was clearly related to </w:t>
            </w:r>
            <w:r w:rsidR="000135B9">
              <w:rPr>
                <w:rFonts w:ascii="Comic Sans MS" w:eastAsia="Comic Sans MS" w:hAnsi="Comic Sans MS" w:cs="Comic Sans MS"/>
                <w:sz w:val="16"/>
              </w:rPr>
              <w:t xml:space="preserve">an ageing and isolated population </w:t>
            </w:r>
            <w:r w:rsidR="0015014D">
              <w:rPr>
                <w:rFonts w:ascii="Comic Sans MS" w:eastAsia="Comic Sans MS" w:hAnsi="Comic Sans MS" w:cs="Comic Sans MS"/>
                <w:sz w:val="16"/>
              </w:rPr>
              <w:t>and economic development. The following was agreed:</w:t>
            </w:r>
          </w:p>
          <w:p w:rsidR="0015014D" w:rsidRDefault="0015014D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15014D" w:rsidRPr="000135B9" w:rsidRDefault="0015014D" w:rsidP="000135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 w:rsidRPr="000135B9"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 w:rsidRPr="000135B9">
              <w:rPr>
                <w:rFonts w:ascii="Comic Sans MS" w:eastAsia="Comic Sans MS" w:hAnsi="Comic Sans MS" w:cs="Comic Sans MS"/>
                <w:sz w:val="16"/>
              </w:rPr>
              <w:t xml:space="preserve"> would ask the consultants to match our needs to the funder’s criteria.</w:t>
            </w:r>
          </w:p>
          <w:p w:rsidR="0015014D" w:rsidRDefault="0015014D" w:rsidP="000135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0135B9">
              <w:rPr>
                <w:rFonts w:ascii="Comic Sans MS" w:eastAsia="Comic Sans MS" w:hAnsi="Comic Sans MS" w:cs="Comic Sans MS"/>
                <w:sz w:val="16"/>
              </w:rPr>
              <w:t>Board members would</w:t>
            </w:r>
            <w:r w:rsidR="000135B9" w:rsidRPr="000135B9">
              <w:rPr>
                <w:rFonts w:ascii="Comic Sans MS" w:eastAsia="Comic Sans MS" w:hAnsi="Comic Sans MS" w:cs="Comic Sans MS"/>
                <w:sz w:val="16"/>
              </w:rPr>
              <w:t xml:space="preserve"> in the meantime attempt to draft their thoughts on our needs and aims in relation to the Clachan Hub proposal.</w:t>
            </w:r>
          </w:p>
          <w:p w:rsidR="000135B9" w:rsidRDefault="000135B9" w:rsidP="000135B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0135B9" w:rsidRPr="000135B9" w:rsidRDefault="000135B9" w:rsidP="000135B9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reported that only 5 hours remained of her contracted work time.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departed after this agenda item.</w:t>
            </w:r>
          </w:p>
          <w:p w:rsidR="00C41B2A" w:rsidRDefault="00C41B2A" w:rsidP="0092167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41B2A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135B9" w:rsidRDefault="000135B9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135B9" w:rsidRDefault="000135B9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135B9" w:rsidRDefault="000135B9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135B9" w:rsidRDefault="000135B9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135B9" w:rsidRDefault="000135B9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</w:p>
          <w:p w:rsidR="007407D9" w:rsidRDefault="007407D9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135B9" w:rsidRDefault="000135B9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41B2A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41B2A" w:rsidRPr="00751075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41B2A" w:rsidTr="0092167C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Pr="000C58FB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Finance and Administration: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Pr="000C58FB" w:rsidRDefault="000C58FB" w:rsidP="000C58F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reported that MS would be returning to work. Although there was no formal report, the accounts had been updated. 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</w:pPr>
          </w:p>
          <w:p w:rsidR="00C41B2A" w:rsidRDefault="00C41B2A" w:rsidP="0092167C">
            <w:pPr>
              <w:spacing w:after="0" w:line="240" w:lineRule="auto"/>
            </w:pPr>
          </w:p>
          <w:p w:rsidR="00C41B2A" w:rsidRPr="00C73858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41B2A" w:rsidTr="007407D9">
        <w:trPr>
          <w:trHeight w:val="1956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Cowal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Way: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C41B2A" w:rsidRDefault="00C41B2A" w:rsidP="0092167C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CC  and SM circulated reports prior to the meeting and</w:t>
            </w:r>
            <w:r w:rsidR="0017025B">
              <w:rPr>
                <w:rFonts w:ascii="Comic Sans MS" w:eastAsia="Comic Sans MS" w:hAnsi="Comic Sans MS" w:cs="Comic Sans MS"/>
                <w:sz w:val="16"/>
              </w:rPr>
              <w:t xml:space="preserve"> were summarised by </w:t>
            </w:r>
            <w:proofErr w:type="spellStart"/>
            <w:r w:rsidR="0017025B"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 w:rsidR="0017025B">
              <w:rPr>
                <w:rFonts w:ascii="Comic Sans MS" w:eastAsia="Comic Sans MS" w:hAnsi="Comic Sans MS" w:cs="Comic Sans MS"/>
                <w:sz w:val="16"/>
              </w:rPr>
              <w:t xml:space="preserve"> as follows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: 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C41B2A" w:rsidRDefault="000135B9" w:rsidP="009216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The contracts for upgrading the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Millhouse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-Golf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>Course  and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Ascog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sections  had been awarded to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Storrie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and GW, respectively.</w:t>
            </w:r>
          </w:p>
          <w:p w:rsidR="0017025B" w:rsidRDefault="0017025B" w:rsidP="009216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There had been no further progress with the council and signage.</w:t>
            </w:r>
          </w:p>
          <w:p w:rsidR="00C41B2A" w:rsidRPr="0017025B" w:rsidRDefault="0017025B" w:rsidP="009216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Feedback from the Edinburgh trade stand had been very positive.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407D9" w:rsidRDefault="007407D9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407D9" w:rsidRDefault="007407D9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407D9" w:rsidRDefault="007407D9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407D9" w:rsidRDefault="007407D9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7407D9" w:rsidRDefault="007407D9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C41B2A" w:rsidRPr="00827F53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41B2A" w:rsidTr="007407D9">
        <w:trPr>
          <w:trHeight w:val="1549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Stronafian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Forest: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17025B" w:rsidP="0017025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 w:rsidRPr="0017025B"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reported in the absence of</w:t>
            </w:r>
            <w:r w:rsidR="007407D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</w:rPr>
              <w:t>EK:</w:t>
            </w:r>
          </w:p>
          <w:p w:rsidR="0017025B" w:rsidRDefault="0017025B" w:rsidP="0017025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17025B" w:rsidRPr="007407D9" w:rsidRDefault="0017025B" w:rsidP="00740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7407D9">
              <w:rPr>
                <w:rFonts w:ascii="Comic Sans MS" w:eastAsia="Comic Sans MS" w:hAnsi="Comic Sans MS" w:cs="Comic Sans MS"/>
                <w:sz w:val="16"/>
              </w:rPr>
              <w:t xml:space="preserve">EK wished to reduce his hours to 0.5FTE. </w:t>
            </w:r>
          </w:p>
          <w:p w:rsidR="0017025B" w:rsidRPr="007407D9" w:rsidRDefault="0017025B" w:rsidP="00740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7407D9">
              <w:rPr>
                <w:rFonts w:ascii="Comic Sans MS" w:eastAsia="Comic Sans MS" w:hAnsi="Comic Sans MS" w:cs="Comic Sans MS"/>
                <w:sz w:val="16"/>
              </w:rPr>
              <w:t xml:space="preserve">Effort would be focussed on delivering training programmes. Residual funds would be used for administrative support. </w:t>
            </w:r>
          </w:p>
          <w:p w:rsidR="0017025B" w:rsidRPr="007407D9" w:rsidRDefault="007407D9" w:rsidP="007407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7407D9">
              <w:rPr>
                <w:rFonts w:ascii="Comic Sans MS" w:eastAsia="Comic Sans MS" w:hAnsi="Comic Sans MS" w:cs="Comic Sans MS"/>
                <w:sz w:val="16"/>
              </w:rPr>
              <w:t>The turbine planning application would go to public hearing in May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</w:pPr>
          </w:p>
        </w:tc>
      </w:tr>
      <w:tr w:rsidR="00C41B2A" w:rsidTr="0092167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AOB:</w:t>
            </w:r>
          </w:p>
          <w:p w:rsidR="00C41B2A" w:rsidRDefault="00C41B2A" w:rsidP="0092167C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Pr="00F425D2" w:rsidRDefault="00C41B2A" w:rsidP="009216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  <w:p w:rsidR="00C41B2A" w:rsidRPr="00681A80" w:rsidRDefault="00C41B2A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Pr="003B365A" w:rsidRDefault="00C41B2A" w:rsidP="0092167C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</w:tr>
      <w:tr w:rsidR="00C41B2A" w:rsidTr="007407D9">
        <w:trPr>
          <w:trHeight w:val="80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Future Meetings:</w:t>
            </w:r>
          </w:p>
          <w:p w:rsidR="00C41B2A" w:rsidRDefault="00C41B2A" w:rsidP="0092167C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Meeting dates were arranged, as follows: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19</w:t>
            </w:r>
            <w:r w:rsidRPr="004A6863">
              <w:rPr>
                <w:rFonts w:ascii="Comic Sans MS" w:eastAsia="Comic Sans MS" w:hAnsi="Comic Sans MS" w:cs="Comic Sans MS"/>
                <w:sz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May 2016 at 15.00 in Colintraive Hall.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Thursday 16th June 2016 at 15.00  in Glendaruel Hall </w:t>
            </w:r>
          </w:p>
          <w:p w:rsidR="00C41B2A" w:rsidRPr="007407D9" w:rsidRDefault="007407D9" w:rsidP="0092167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407D9">
              <w:rPr>
                <w:rFonts w:ascii="Comic Sans MS" w:hAnsi="Comic Sans MS"/>
                <w:sz w:val="16"/>
                <w:szCs w:val="16"/>
              </w:rPr>
              <w:t>July meeting to be arranged at next meeting.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B2A" w:rsidTr="0092167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lastRenderedPageBreak/>
              <w:t>ADOPTION:    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Proposed: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C41B2A" w:rsidRDefault="00C41B2A" w:rsidP="0092167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                        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   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B2A" w:rsidTr="0092167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Seconded: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C41B2A" w:rsidRDefault="00C41B2A" w:rsidP="0092167C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B2A" w:rsidTr="0092167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SIGNED:  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</w:p>
          <w:p w:rsidR="00C41B2A" w:rsidRDefault="00C41B2A" w:rsidP="0092167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       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B2A" w:rsidTr="0092167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Chairman:</w:t>
            </w:r>
          </w:p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C41B2A" w:rsidRDefault="00C41B2A" w:rsidP="0092167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1B2A" w:rsidTr="0092167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DATE:       </w:t>
            </w:r>
          </w:p>
          <w:p w:rsidR="00C41B2A" w:rsidRDefault="00C41B2A" w:rsidP="0092167C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C41B2A" w:rsidRDefault="00C41B2A" w:rsidP="009216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7543" w:rsidRDefault="00C67543"/>
    <w:sectPr w:rsidR="00C67543" w:rsidSect="00C6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AA7"/>
    <w:multiLevelType w:val="hybridMultilevel"/>
    <w:tmpl w:val="D264E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39A8"/>
    <w:multiLevelType w:val="hybridMultilevel"/>
    <w:tmpl w:val="31D2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67E96"/>
    <w:multiLevelType w:val="hybridMultilevel"/>
    <w:tmpl w:val="3C76F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4627C"/>
    <w:multiLevelType w:val="hybridMultilevel"/>
    <w:tmpl w:val="0C36D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667D2"/>
    <w:multiLevelType w:val="hybridMultilevel"/>
    <w:tmpl w:val="4714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2EFF"/>
    <w:multiLevelType w:val="hybridMultilevel"/>
    <w:tmpl w:val="0104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248A6"/>
    <w:multiLevelType w:val="hybridMultilevel"/>
    <w:tmpl w:val="5CA23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21401"/>
    <w:multiLevelType w:val="hybridMultilevel"/>
    <w:tmpl w:val="1E6ED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A"/>
    <w:rsid w:val="000135B9"/>
    <w:rsid w:val="000C58FB"/>
    <w:rsid w:val="0015014D"/>
    <w:rsid w:val="0017025B"/>
    <w:rsid w:val="0035584E"/>
    <w:rsid w:val="007407D9"/>
    <w:rsid w:val="00B40EFF"/>
    <w:rsid w:val="00C41B2A"/>
    <w:rsid w:val="00C67543"/>
    <w:rsid w:val="00D2263F"/>
    <w:rsid w:val="00D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4297B-2957-4D8B-BDAD-099A01D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B2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7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Margaret</cp:lastModifiedBy>
  <cp:revision>2</cp:revision>
  <cp:lastPrinted>2016-05-18T07:36:00Z</cp:lastPrinted>
  <dcterms:created xsi:type="dcterms:W3CDTF">2016-05-18T07:37:00Z</dcterms:created>
  <dcterms:modified xsi:type="dcterms:W3CDTF">2016-05-18T07:37:00Z</dcterms:modified>
</cp:coreProperties>
</file>